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5" w:rsidRDefault="00A95218" w:rsidP="00DB771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A/A del </w:t>
      </w:r>
      <w:r w:rsidR="003163B5">
        <w:rPr>
          <w:b/>
          <w:sz w:val="24"/>
          <w:szCs w:val="24"/>
          <w:u w:val="single"/>
        </w:rPr>
        <w:t>Director General de Patrimonio Cultural</w:t>
      </w:r>
      <w:r w:rsidR="00334D25">
        <w:rPr>
          <w:b/>
          <w:sz w:val="24"/>
          <w:szCs w:val="24"/>
          <w:u w:val="single"/>
        </w:rPr>
        <w:t xml:space="preserve">. </w:t>
      </w:r>
      <w:r w:rsidR="00334D25" w:rsidRPr="00334D25">
        <w:rPr>
          <w:sz w:val="24"/>
          <w:szCs w:val="24"/>
        </w:rPr>
        <w:t xml:space="preserve">Expediente </w:t>
      </w:r>
      <w:r w:rsidR="00334D25">
        <w:rPr>
          <w:b/>
          <w:sz w:val="24"/>
          <w:szCs w:val="24"/>
          <w:u w:val="single"/>
        </w:rPr>
        <w:t>DBC 000001/2023</w:t>
      </w:r>
    </w:p>
    <w:p w:rsidR="003163B5" w:rsidRDefault="003163B5" w:rsidP="00DB771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Consejería de Presidencia, Turismo, Cultura, Juventud, Deportes y Portavocía. Región de Murcia</w:t>
      </w:r>
    </w:p>
    <w:p w:rsidR="00121CC5" w:rsidRDefault="00121CC5">
      <w:pPr>
        <w:rPr>
          <w:sz w:val="10"/>
          <w:szCs w:val="10"/>
        </w:rPr>
      </w:pPr>
    </w:p>
    <w:p w:rsidR="00121CC5" w:rsidRDefault="00A95218">
      <w:pPr>
        <w:rPr>
          <w:sz w:val="24"/>
          <w:szCs w:val="24"/>
        </w:rPr>
      </w:pPr>
      <w:r>
        <w:rPr>
          <w:sz w:val="24"/>
          <w:szCs w:val="24"/>
        </w:rPr>
        <w:t xml:space="preserve">Yo, __________________________________________________________, DNI </w:t>
      </w:r>
      <w:r w:rsidR="00D838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 como (elegir una opción):</w:t>
      </w:r>
    </w:p>
    <w:p w:rsidR="00121CC5" w:rsidRDefault="00A95218">
      <w:pPr>
        <w:rPr>
          <w:sz w:val="24"/>
          <w:szCs w:val="24"/>
        </w:rPr>
      </w:pPr>
      <w:r>
        <w:rPr>
          <w:sz w:val="24"/>
          <w:szCs w:val="24"/>
        </w:rPr>
        <w:t xml:space="preserve">[__] vecino/a del municipio de </w:t>
      </w:r>
      <w:r w:rsidR="00D838D1">
        <w:rPr>
          <w:sz w:val="24"/>
          <w:szCs w:val="24"/>
        </w:rPr>
        <w:t>__________________________________</w:t>
      </w:r>
    </w:p>
    <w:p w:rsidR="00121CC5" w:rsidRDefault="00A95218">
      <w:pPr>
        <w:rPr>
          <w:sz w:val="24"/>
          <w:szCs w:val="24"/>
        </w:rPr>
      </w:pPr>
      <w:r>
        <w:rPr>
          <w:sz w:val="24"/>
          <w:szCs w:val="24"/>
        </w:rPr>
        <w:t>[__] representante de la asociación ________________________________</w:t>
      </w:r>
      <w:r w:rsidR="00D838D1">
        <w:rPr>
          <w:sz w:val="24"/>
          <w:szCs w:val="24"/>
        </w:rPr>
        <w:t>___________________</w:t>
      </w:r>
      <w:r>
        <w:rPr>
          <w:sz w:val="24"/>
          <w:szCs w:val="24"/>
        </w:rPr>
        <w:t>___ CIF _________________</w:t>
      </w:r>
      <w:r w:rsidR="00D838D1">
        <w:rPr>
          <w:sz w:val="24"/>
          <w:szCs w:val="24"/>
        </w:rPr>
        <w:t>, inscrita en el Registro de Asociaciones [__</w:t>
      </w:r>
      <w:proofErr w:type="gramStart"/>
      <w:r w:rsidR="00D838D1">
        <w:rPr>
          <w:sz w:val="24"/>
          <w:szCs w:val="24"/>
        </w:rPr>
        <w:t>]regional</w:t>
      </w:r>
      <w:proofErr w:type="gramEnd"/>
      <w:r w:rsidR="00D838D1">
        <w:rPr>
          <w:sz w:val="24"/>
          <w:szCs w:val="24"/>
        </w:rPr>
        <w:t xml:space="preserve"> [__] nacional   (marcar uno) con el número _____________ , cuyos datos ya obran en poder de esta administración en dicho registro</w:t>
      </w:r>
    </w:p>
    <w:p w:rsidR="00D838D1" w:rsidRPr="00D838D1" w:rsidRDefault="00D838D1">
      <w:pPr>
        <w:rPr>
          <w:sz w:val="12"/>
          <w:szCs w:val="12"/>
        </w:rPr>
      </w:pPr>
    </w:p>
    <w:p w:rsidR="00121CC5" w:rsidRDefault="00A952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dirección de notificaciones en ____________________________________________ CP ___________</w:t>
      </w:r>
    </w:p>
    <w:p w:rsidR="00121CC5" w:rsidRDefault="00733D91">
      <w:pPr>
        <w:rPr>
          <w:sz w:val="24"/>
          <w:szCs w:val="24"/>
        </w:rPr>
      </w:pPr>
      <w:r>
        <w:rPr>
          <w:sz w:val="24"/>
          <w:szCs w:val="24"/>
        </w:rPr>
        <w:t>Expone</w:t>
      </w:r>
      <w:r w:rsidR="00A95218">
        <w:rPr>
          <w:b/>
          <w:sz w:val="24"/>
          <w:szCs w:val="24"/>
        </w:rPr>
        <w:t>:</w:t>
      </w:r>
      <w:r w:rsidR="00A95218">
        <w:rPr>
          <w:sz w:val="24"/>
          <w:szCs w:val="24"/>
        </w:rPr>
        <w:t xml:space="preserve">          </w:t>
      </w:r>
      <w:r w:rsidR="00A95218">
        <w:rPr>
          <w:i/>
          <w:sz w:val="24"/>
          <w:szCs w:val="24"/>
        </w:rPr>
        <w:t>(añadir o quitar cualquier punto que se desee)</w:t>
      </w:r>
    </w:p>
    <w:p w:rsidR="00121CC5" w:rsidRDefault="00A95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Constitución Española recoge en su artículo 44 que "1. </w:t>
      </w:r>
      <w:r>
        <w:rPr>
          <w:b/>
          <w:sz w:val="24"/>
          <w:szCs w:val="24"/>
          <w:u w:val="single"/>
        </w:rPr>
        <w:t>Los poderes públicos promoverán y tutelarán el acceso a la cultura, a la que todos tienen derecho.</w:t>
      </w:r>
      <w:r>
        <w:rPr>
          <w:sz w:val="24"/>
          <w:szCs w:val="24"/>
        </w:rPr>
        <w:t>", así como en el Artículo 46 que "</w:t>
      </w:r>
      <w:r>
        <w:rPr>
          <w:b/>
          <w:sz w:val="24"/>
          <w:szCs w:val="24"/>
          <w:u w:val="single"/>
        </w:rPr>
        <w:t>Los poderes públicos garantizarán la conservación y promoverán el enriquecimiento del patrimonio histórico, cultural y artístico de los pueblos de España y de los bienes que lo integran, cualquiera que sea su régimen jurídico y su titularidad.</w:t>
      </w:r>
      <w:r>
        <w:rPr>
          <w:sz w:val="24"/>
          <w:szCs w:val="24"/>
        </w:rPr>
        <w:t xml:space="preserve"> </w:t>
      </w:r>
    </w:p>
    <w:p w:rsidR="00121CC5" w:rsidRDefault="00D838D1" w:rsidP="00A91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</w:t>
      </w:r>
      <w:r w:rsidRPr="00D838D1">
        <w:rPr>
          <w:sz w:val="24"/>
          <w:szCs w:val="24"/>
        </w:rPr>
        <w:t>Ley 4/2007, de 16 de marzo, de Patrimonio Cultural de la Comunidad</w:t>
      </w:r>
      <w:r>
        <w:rPr>
          <w:sz w:val="24"/>
          <w:szCs w:val="24"/>
        </w:rPr>
        <w:t xml:space="preserve"> </w:t>
      </w:r>
      <w:r w:rsidRPr="00D838D1">
        <w:rPr>
          <w:sz w:val="24"/>
          <w:szCs w:val="24"/>
        </w:rPr>
        <w:t>Autónoma de la Región de Murcia</w:t>
      </w:r>
      <w:r>
        <w:rPr>
          <w:sz w:val="24"/>
          <w:szCs w:val="24"/>
        </w:rPr>
        <w:t xml:space="preserve"> señala en su artículo 3 que “</w:t>
      </w:r>
      <w:r w:rsidRPr="00A915E7">
        <w:rPr>
          <w:b/>
          <w:sz w:val="24"/>
          <w:szCs w:val="24"/>
          <w:u w:val="single"/>
        </w:rPr>
        <w:t>Los bienes muebles, inmuebles e inmateriales más relevantes por su sobresaliente valor cultural para la Región de Murcia serán declarados bienes de interés cultural</w:t>
      </w:r>
      <w:r>
        <w:rPr>
          <w:sz w:val="24"/>
          <w:szCs w:val="24"/>
        </w:rPr>
        <w:t>”</w:t>
      </w:r>
      <w:r w:rsidR="00A915E7">
        <w:rPr>
          <w:sz w:val="24"/>
          <w:szCs w:val="24"/>
        </w:rPr>
        <w:t xml:space="preserve"> y en su artículo 17 que ”</w:t>
      </w:r>
      <w:r w:rsidR="00A915E7" w:rsidRPr="00A915E7">
        <w:rPr>
          <w:sz w:val="24"/>
          <w:szCs w:val="24"/>
        </w:rPr>
        <w:t>La declaración de un bien de interés cultural contendrá necesariamente:</w:t>
      </w:r>
      <w:r w:rsidR="00A915E7">
        <w:rPr>
          <w:sz w:val="24"/>
          <w:szCs w:val="24"/>
        </w:rPr>
        <w:t xml:space="preserve"> </w:t>
      </w:r>
      <w:r w:rsidR="00A915E7" w:rsidRPr="00A915E7">
        <w:rPr>
          <w:sz w:val="24"/>
          <w:szCs w:val="24"/>
        </w:rPr>
        <w:t xml:space="preserve">a) Una </w:t>
      </w:r>
      <w:r w:rsidR="00A915E7" w:rsidRPr="00A915E7">
        <w:rPr>
          <w:b/>
          <w:sz w:val="24"/>
          <w:szCs w:val="24"/>
          <w:u w:val="single"/>
        </w:rPr>
        <w:t>descripción clara y detallada del bien objeto de la declaración</w:t>
      </w:r>
      <w:r w:rsidR="00A915E7" w:rsidRPr="00A915E7">
        <w:rPr>
          <w:sz w:val="24"/>
          <w:szCs w:val="24"/>
        </w:rPr>
        <w:t xml:space="preserve"> que facilite su</w:t>
      </w:r>
      <w:r w:rsidR="00A915E7">
        <w:rPr>
          <w:sz w:val="24"/>
          <w:szCs w:val="24"/>
        </w:rPr>
        <w:t xml:space="preserve"> </w:t>
      </w:r>
      <w:r w:rsidR="00A915E7" w:rsidRPr="00A915E7">
        <w:rPr>
          <w:sz w:val="24"/>
          <w:szCs w:val="24"/>
        </w:rPr>
        <w:t xml:space="preserve">correcta identificación. En el caso de bienes inmuebles, además de su delimitación, </w:t>
      </w:r>
      <w:r w:rsidR="00A915E7" w:rsidRPr="00A915E7">
        <w:rPr>
          <w:b/>
          <w:sz w:val="24"/>
          <w:szCs w:val="24"/>
          <w:u w:val="single"/>
        </w:rPr>
        <w:t>las partes integrantes, pertenencias, accesorios y bienes muebles que por su vinculación con el inmueble pasarán también a ser considerados a todos los efectos de interés cultural</w:t>
      </w:r>
      <w:r w:rsidR="00A915E7">
        <w:rPr>
          <w:sz w:val="24"/>
          <w:szCs w:val="24"/>
        </w:rPr>
        <w:t>”.</w:t>
      </w:r>
    </w:p>
    <w:p w:rsidR="00121CC5" w:rsidRDefault="00A91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“Asamblea Regional”, </w:t>
      </w:r>
      <w:r w:rsidRPr="00F43EF0">
        <w:rPr>
          <w:b/>
          <w:sz w:val="24"/>
          <w:szCs w:val="24"/>
          <w:u w:val="single"/>
        </w:rPr>
        <w:t>representa al pueblo de región</w:t>
      </w:r>
      <w:r>
        <w:rPr>
          <w:sz w:val="24"/>
          <w:szCs w:val="24"/>
        </w:rPr>
        <w:t xml:space="preserve"> y ostenta la potestad legislativa en nuestra comunidad autónoma, </w:t>
      </w:r>
      <w:r w:rsidRPr="00F43EF0">
        <w:rPr>
          <w:b/>
          <w:sz w:val="24"/>
          <w:szCs w:val="24"/>
          <w:u w:val="single"/>
        </w:rPr>
        <w:t>teniendo su sede en Cartagena</w:t>
      </w:r>
      <w:r w:rsidRPr="00F43EF0">
        <w:rPr>
          <w:sz w:val="24"/>
          <w:szCs w:val="24"/>
        </w:rPr>
        <w:t>,</w:t>
      </w:r>
      <w:r>
        <w:rPr>
          <w:sz w:val="24"/>
          <w:szCs w:val="24"/>
        </w:rPr>
        <w:t xml:space="preserve"> como establece el Estatuto de Autonomía. La “Asamblea Regional” se encuentra erigida en un singular edificio que fue antigua Casa de la </w:t>
      </w:r>
      <w:r w:rsidR="00F43EF0">
        <w:rPr>
          <w:sz w:val="24"/>
          <w:szCs w:val="24"/>
        </w:rPr>
        <w:t xml:space="preserve">Cultura de la </w:t>
      </w:r>
      <w:proofErr w:type="spellStart"/>
      <w:r w:rsidR="00F43EF0">
        <w:rPr>
          <w:sz w:val="24"/>
          <w:szCs w:val="24"/>
        </w:rPr>
        <w:t>trimilenaria</w:t>
      </w:r>
      <w:proofErr w:type="spellEnd"/>
      <w:r w:rsidR="00F43EF0">
        <w:rPr>
          <w:sz w:val="24"/>
          <w:szCs w:val="24"/>
        </w:rPr>
        <w:t xml:space="preserve"> ciudad, adaptado para su nueva función parlamentaria, legislativa y simbólica, y que en el que se ha formado además una importante colección artística, tanto mural como escultórica y pictórica en las últimas cuatro décadas, además de un importante fondo bibliográfico y monumental. </w:t>
      </w:r>
    </w:p>
    <w:p w:rsidR="00121CC5" w:rsidRDefault="00F43EF0">
      <w:pPr>
        <w:jc w:val="both"/>
        <w:rPr>
          <w:sz w:val="24"/>
          <w:szCs w:val="24"/>
        </w:rPr>
      </w:pPr>
      <w:r>
        <w:rPr>
          <w:sz w:val="24"/>
          <w:szCs w:val="24"/>
        </w:rPr>
        <w:t>Que el edificio parlamentario de la Asamblea Regional</w:t>
      </w:r>
      <w:r w:rsidR="00DB771D">
        <w:rPr>
          <w:sz w:val="24"/>
          <w:szCs w:val="24"/>
        </w:rPr>
        <w:t xml:space="preserve"> y su entorno inmediato, </w:t>
      </w:r>
      <w:r>
        <w:rPr>
          <w:sz w:val="24"/>
          <w:szCs w:val="24"/>
        </w:rPr>
        <w:t xml:space="preserve"> ha sido escenario de diversos hechos históricos de importante relevancia para nuestra comunidad autónoma, desde su propia formación y constitución, la elección de sus presidentes, entre ellos el de la primera mujer presidenta de una autonomía en España, las muestras y eventos de apoyo y difusión para la protección y proyección cultural y turística internacional de bienes y fiestas de diversa índole procedentes de toda la región, así como los hechos de los que se han cumplido 31 años recientemente, durante las </w:t>
      </w:r>
      <w:r>
        <w:rPr>
          <w:sz w:val="24"/>
          <w:szCs w:val="24"/>
        </w:rPr>
        <w:lastRenderedPageBreak/>
        <w:t>movilizaciones</w:t>
      </w:r>
      <w:r w:rsidR="00DB771D">
        <w:rPr>
          <w:sz w:val="24"/>
          <w:szCs w:val="24"/>
        </w:rPr>
        <w:t xml:space="preserve"> obreras</w:t>
      </w:r>
      <w:r>
        <w:rPr>
          <w:sz w:val="24"/>
          <w:szCs w:val="24"/>
        </w:rPr>
        <w:t xml:space="preserve"> por la reconversión industrial, que llevaron a la propia quema de </w:t>
      </w:r>
      <w:r w:rsidR="00DB771D">
        <w:rPr>
          <w:sz w:val="24"/>
          <w:szCs w:val="24"/>
        </w:rPr>
        <w:t xml:space="preserve">parte de la Asamblea, </w:t>
      </w:r>
      <w:r w:rsidR="00733D91">
        <w:rPr>
          <w:sz w:val="24"/>
          <w:szCs w:val="24"/>
        </w:rPr>
        <w:t xml:space="preserve"> suponiendo un caso único en la historia parlamentaria reciente de la España democrática.</w:t>
      </w:r>
    </w:p>
    <w:p w:rsidR="00121CC5" w:rsidRDefault="00733D91" w:rsidP="00733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del propio edificio, de carácter ecléctico, proyectado por el arquitecto Rafael </w:t>
      </w:r>
      <w:proofErr w:type="spellStart"/>
      <w:r>
        <w:rPr>
          <w:sz w:val="24"/>
          <w:szCs w:val="24"/>
        </w:rPr>
        <w:t>Braquehais</w:t>
      </w:r>
      <w:proofErr w:type="spellEnd"/>
      <w:r>
        <w:rPr>
          <w:sz w:val="24"/>
          <w:szCs w:val="24"/>
        </w:rPr>
        <w:t xml:space="preserve">, que incorpora </w:t>
      </w:r>
      <w:r w:rsidRPr="00733D91">
        <w:rPr>
          <w:sz w:val="24"/>
          <w:szCs w:val="24"/>
        </w:rPr>
        <w:t>elementos simbólicos alusivos a las características e historia de nuestra</w:t>
      </w:r>
      <w:r>
        <w:rPr>
          <w:sz w:val="24"/>
          <w:szCs w:val="24"/>
        </w:rPr>
        <w:t xml:space="preserve"> región, </w:t>
      </w:r>
      <w:r w:rsidRPr="00733D91">
        <w:rPr>
          <w:sz w:val="24"/>
          <w:szCs w:val="24"/>
        </w:rPr>
        <w:t>Cabe destacar la fachada, presidida en su segunda planta con una escultura de Ardid, alegórica a la</w:t>
      </w:r>
      <w:r>
        <w:rPr>
          <w:sz w:val="24"/>
          <w:szCs w:val="24"/>
        </w:rPr>
        <w:t xml:space="preserve"> </w:t>
      </w:r>
      <w:r w:rsidRPr="00733D91">
        <w:rPr>
          <w:sz w:val="24"/>
          <w:szCs w:val="24"/>
        </w:rPr>
        <w:t>Región de Murcia ubicada en una logia ornamentada con profusa azulejería y amplias zonas</w:t>
      </w:r>
      <w:r>
        <w:rPr>
          <w:sz w:val="24"/>
          <w:szCs w:val="24"/>
        </w:rPr>
        <w:t xml:space="preserve"> </w:t>
      </w:r>
      <w:r w:rsidRPr="00733D91">
        <w:rPr>
          <w:sz w:val="24"/>
          <w:szCs w:val="24"/>
        </w:rPr>
        <w:t>acristaladas. El exterior del edificio es circundado por un muro con representaciones alusivas a los</w:t>
      </w:r>
      <w:r>
        <w:rPr>
          <w:sz w:val="24"/>
          <w:szCs w:val="24"/>
        </w:rPr>
        <w:t xml:space="preserve"> </w:t>
      </w:r>
      <w:r w:rsidRPr="00733D91">
        <w:rPr>
          <w:sz w:val="24"/>
          <w:szCs w:val="24"/>
        </w:rPr>
        <w:t>distintos mu</w:t>
      </w:r>
      <w:r>
        <w:rPr>
          <w:sz w:val="24"/>
          <w:szCs w:val="24"/>
        </w:rPr>
        <w:t>nicipios de la Región de Murcia, instituciones algunas seculares y otras creadas dentro de la propia autonomía.</w:t>
      </w:r>
    </w:p>
    <w:p w:rsidR="00733D91" w:rsidRDefault="00733D91" w:rsidP="00733D91">
      <w:pPr>
        <w:jc w:val="both"/>
        <w:rPr>
          <w:sz w:val="24"/>
          <w:szCs w:val="24"/>
        </w:rPr>
      </w:pPr>
      <w:r w:rsidRPr="00733D91">
        <w:rPr>
          <w:sz w:val="24"/>
          <w:szCs w:val="24"/>
        </w:rPr>
        <w:t>Las principales estancias del edificio</w:t>
      </w:r>
      <w:r>
        <w:rPr>
          <w:sz w:val="24"/>
          <w:szCs w:val="24"/>
        </w:rPr>
        <w:t xml:space="preserve"> </w:t>
      </w:r>
      <w:r w:rsidRPr="00733D91">
        <w:rPr>
          <w:sz w:val="24"/>
          <w:szCs w:val="24"/>
        </w:rPr>
        <w:t>son el Patio de los Ayuntamientos, espacio central de la construcción y que alberga e</w:t>
      </w:r>
      <w:r>
        <w:rPr>
          <w:sz w:val="24"/>
          <w:szCs w:val="24"/>
        </w:rPr>
        <w:t xml:space="preserve">ventos oficiales y de promoción, </w:t>
      </w:r>
      <w:r w:rsidRPr="00733D91">
        <w:rPr>
          <w:sz w:val="24"/>
          <w:szCs w:val="24"/>
        </w:rPr>
        <w:t xml:space="preserve">el Patio de las Comarcas, espacio para el público de las sesiones parlamentarias que alberga pinturas al fresco alusivas a pasajes históricos regionales, del propio </w:t>
      </w:r>
      <w:proofErr w:type="spellStart"/>
      <w:r w:rsidRPr="00733D91">
        <w:rPr>
          <w:sz w:val="24"/>
          <w:szCs w:val="24"/>
        </w:rPr>
        <w:t>Braquehais</w:t>
      </w:r>
      <w:proofErr w:type="spellEnd"/>
      <w:r w:rsidRPr="00733D91">
        <w:rPr>
          <w:sz w:val="24"/>
          <w:szCs w:val="24"/>
        </w:rPr>
        <w:t xml:space="preserve">; el Salón del Príncipe, para la recepción de visitas protocolarias y de autoridades, denominado en honor del hoy Rey Felipe VI; y el Hemiciclo, el espacio de las sesiones parlamentarias realizado con cánones neoclásicos y decorado con elementos ornamentales de inspiración naturalista, y cuyos escaños se disponen en torno a la tribuna de oradores y la </w:t>
      </w:r>
      <w:r w:rsidR="00334D25">
        <w:rPr>
          <w:sz w:val="24"/>
          <w:szCs w:val="24"/>
        </w:rPr>
        <w:t>mesa.</w:t>
      </w:r>
    </w:p>
    <w:p w:rsidR="00733D91" w:rsidRDefault="00733D91" w:rsidP="00733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solicitud de protección como Bien de Interés Cultural de la Asamblea Regional cursada por HUERMUR </w:t>
      </w:r>
      <w:r w:rsidRPr="00733D91">
        <w:rPr>
          <w:sz w:val="24"/>
          <w:szCs w:val="24"/>
        </w:rPr>
        <w:t>incluye únicamente el edificio parlamentario histórico, excluyendo el ane</w:t>
      </w:r>
      <w:r>
        <w:rPr>
          <w:sz w:val="24"/>
          <w:szCs w:val="24"/>
        </w:rPr>
        <w:t>jo y las nuevas construcciones. La solicitud refleja</w:t>
      </w:r>
      <w:r w:rsidRPr="00733D91">
        <w:rPr>
          <w:sz w:val="24"/>
          <w:szCs w:val="24"/>
        </w:rPr>
        <w:t xml:space="preserve"> la unidad como colección de los fondos bibliográficos, más allá de su ubicación o disposición, así como igualmente de los fondos artísticos, pictóricos y escultóricos de la Asamblea, además de los propiamente realizados en fachadas, paredes y estancias.</w:t>
      </w:r>
    </w:p>
    <w:p w:rsidR="00733D91" w:rsidRPr="00733D91" w:rsidRDefault="00733D91" w:rsidP="00733D91">
      <w:pPr>
        <w:jc w:val="both"/>
        <w:rPr>
          <w:sz w:val="24"/>
          <w:szCs w:val="24"/>
        </w:rPr>
      </w:pPr>
      <w:r w:rsidRPr="00733D91">
        <w:rPr>
          <w:sz w:val="24"/>
          <w:szCs w:val="24"/>
        </w:rPr>
        <w:t xml:space="preserve">Entre las obras artísticas incluidas en el inventario a proteger, cabe destacar la presencia de trabajos y </w:t>
      </w:r>
      <w:r w:rsidRPr="00733D91">
        <w:rPr>
          <w:b/>
          <w:sz w:val="24"/>
          <w:szCs w:val="24"/>
          <w:u w:val="single"/>
        </w:rPr>
        <w:t xml:space="preserve">murales de Ramón Alonso </w:t>
      </w:r>
      <w:proofErr w:type="spellStart"/>
      <w:r w:rsidRPr="00733D91">
        <w:rPr>
          <w:b/>
          <w:sz w:val="24"/>
          <w:szCs w:val="24"/>
          <w:u w:val="single"/>
        </w:rPr>
        <w:t>Luzzy</w:t>
      </w:r>
      <w:proofErr w:type="spellEnd"/>
      <w:r w:rsidRPr="00733D91">
        <w:rPr>
          <w:b/>
          <w:sz w:val="24"/>
          <w:szCs w:val="24"/>
          <w:u w:val="single"/>
        </w:rPr>
        <w:t xml:space="preserve">, esculturas en bronce de Juan González Moreno y José Planes, obras de Muñoz </w:t>
      </w:r>
      <w:proofErr w:type="spellStart"/>
      <w:r w:rsidRPr="00733D91">
        <w:rPr>
          <w:b/>
          <w:sz w:val="24"/>
          <w:szCs w:val="24"/>
          <w:u w:val="single"/>
        </w:rPr>
        <w:t>Barberán</w:t>
      </w:r>
      <w:proofErr w:type="spellEnd"/>
      <w:r w:rsidRPr="00733D91">
        <w:rPr>
          <w:b/>
          <w:sz w:val="24"/>
          <w:szCs w:val="24"/>
          <w:u w:val="single"/>
        </w:rPr>
        <w:t xml:space="preserve">, de </w:t>
      </w:r>
      <w:proofErr w:type="spellStart"/>
      <w:r w:rsidRPr="00733D91">
        <w:rPr>
          <w:b/>
          <w:sz w:val="24"/>
          <w:szCs w:val="24"/>
          <w:u w:val="single"/>
        </w:rPr>
        <w:t>Párraga</w:t>
      </w:r>
      <w:proofErr w:type="spellEnd"/>
      <w:r w:rsidRPr="00733D91">
        <w:rPr>
          <w:b/>
          <w:sz w:val="24"/>
          <w:szCs w:val="24"/>
          <w:u w:val="single"/>
        </w:rPr>
        <w:t xml:space="preserve">, de Ramón Gaya, de Pedro Flores, de Molina Sánchez, de </w:t>
      </w:r>
      <w:proofErr w:type="spellStart"/>
      <w:r w:rsidRPr="00733D91">
        <w:rPr>
          <w:b/>
          <w:sz w:val="24"/>
          <w:szCs w:val="24"/>
          <w:u w:val="single"/>
        </w:rPr>
        <w:t>Sobejano</w:t>
      </w:r>
      <w:proofErr w:type="spellEnd"/>
      <w:r w:rsidRPr="00733D91">
        <w:rPr>
          <w:b/>
          <w:sz w:val="24"/>
          <w:szCs w:val="24"/>
          <w:u w:val="single"/>
        </w:rPr>
        <w:t>, de Inocencio Medina Vera, y de Aurelio</w:t>
      </w:r>
      <w:r w:rsidRPr="00733D91">
        <w:rPr>
          <w:sz w:val="24"/>
          <w:szCs w:val="24"/>
        </w:rPr>
        <w:t>, entre otros.</w:t>
      </w:r>
      <w:r>
        <w:rPr>
          <w:sz w:val="24"/>
          <w:szCs w:val="24"/>
        </w:rPr>
        <w:t xml:space="preserve"> </w:t>
      </w:r>
      <w:r w:rsidRPr="00733D91">
        <w:rPr>
          <w:sz w:val="24"/>
          <w:szCs w:val="24"/>
        </w:rPr>
        <w:t xml:space="preserve">Además, obra en el inventario oleos y acuarelas de </w:t>
      </w:r>
      <w:r w:rsidRPr="00733D91">
        <w:rPr>
          <w:b/>
          <w:sz w:val="24"/>
          <w:szCs w:val="24"/>
          <w:u w:val="single"/>
        </w:rPr>
        <w:t>Pedro Cano, murales y obras de José Lucas, trabajos de</w:t>
      </w:r>
      <w:r>
        <w:rPr>
          <w:b/>
          <w:sz w:val="24"/>
          <w:szCs w:val="24"/>
          <w:u w:val="single"/>
        </w:rPr>
        <w:t xml:space="preserve"> Manuel </w:t>
      </w:r>
      <w:proofErr w:type="spellStart"/>
      <w:r>
        <w:rPr>
          <w:b/>
          <w:sz w:val="24"/>
          <w:szCs w:val="24"/>
          <w:u w:val="single"/>
        </w:rPr>
        <w:t>Belzunce</w:t>
      </w:r>
      <w:proofErr w:type="spellEnd"/>
      <w:r>
        <w:rPr>
          <w:b/>
          <w:sz w:val="24"/>
          <w:szCs w:val="24"/>
          <w:u w:val="single"/>
        </w:rPr>
        <w:t>, de Ángel Haro y</w:t>
      </w:r>
      <w:r w:rsidRPr="00733D91">
        <w:rPr>
          <w:b/>
          <w:sz w:val="24"/>
          <w:szCs w:val="24"/>
          <w:u w:val="single"/>
        </w:rPr>
        <w:t xml:space="preserve"> de MUHER</w:t>
      </w:r>
      <w:r>
        <w:rPr>
          <w:sz w:val="24"/>
          <w:szCs w:val="24"/>
        </w:rPr>
        <w:t>.</w:t>
      </w:r>
    </w:p>
    <w:p w:rsidR="00733D91" w:rsidRDefault="00733D91" w:rsidP="00733D91">
      <w:pPr>
        <w:jc w:val="both"/>
        <w:rPr>
          <w:sz w:val="24"/>
          <w:szCs w:val="24"/>
        </w:rPr>
      </w:pPr>
      <w:r w:rsidRPr="00733D91">
        <w:rPr>
          <w:sz w:val="24"/>
          <w:szCs w:val="24"/>
        </w:rPr>
        <w:t>Todo ello compone una interesante y singular colección artística en diversos soporte</w:t>
      </w:r>
      <w:bookmarkStart w:id="0" w:name="_GoBack"/>
      <w:bookmarkEnd w:id="0"/>
      <w:r w:rsidRPr="00733D91">
        <w:rPr>
          <w:sz w:val="24"/>
          <w:szCs w:val="24"/>
        </w:rPr>
        <w:t>s y de las diversas artes, que junto al propio edificio y su decoración, supone un recorrido por el arte de la región de los últimos siglos, reuniendo trabajos de los artistas regionales que han tenido mayor protección tanto a nivel local como nacional e internacional.</w:t>
      </w:r>
      <w:r>
        <w:rPr>
          <w:sz w:val="24"/>
          <w:szCs w:val="24"/>
        </w:rPr>
        <w:t xml:space="preserve"> Colección valorada en torno a los 400.000 € por la Asamblea.</w:t>
      </w:r>
    </w:p>
    <w:p w:rsidR="00121CC5" w:rsidRDefault="00A95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todo ello, </w:t>
      </w:r>
      <w:r w:rsidR="00733D91">
        <w:rPr>
          <w:sz w:val="24"/>
          <w:szCs w:val="24"/>
        </w:rPr>
        <w:t>SOLICITO</w:t>
      </w:r>
    </w:p>
    <w:p w:rsidR="00733D91" w:rsidRDefault="00733D9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Que se incoe expediente de protección como Bien de Interés Cultural de la Asamblea Regional, incluyendo como parte integrante  </w:t>
      </w:r>
      <w:r w:rsidR="00DB771D">
        <w:rPr>
          <w:sz w:val="24"/>
          <w:szCs w:val="24"/>
        </w:rPr>
        <w:t>su colección y fondo artístico, así como su colección bibliográfica.</w:t>
      </w:r>
    </w:p>
    <w:p w:rsidR="00121CC5" w:rsidRDefault="00A95218" w:rsidP="00DB7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DB771D">
        <w:rPr>
          <w:sz w:val="24"/>
          <w:szCs w:val="24"/>
        </w:rPr>
        <w:t xml:space="preserve">_______________, </w:t>
      </w:r>
      <w:r>
        <w:rPr>
          <w:sz w:val="24"/>
          <w:szCs w:val="24"/>
        </w:rPr>
        <w:t xml:space="preserve">a ________ de </w:t>
      </w:r>
      <w:r w:rsidR="00DB771D">
        <w:rPr>
          <w:sz w:val="24"/>
          <w:szCs w:val="24"/>
        </w:rPr>
        <w:t>febrero de 2023</w:t>
      </w:r>
      <w:r>
        <w:rPr>
          <w:sz w:val="24"/>
          <w:szCs w:val="24"/>
        </w:rPr>
        <w:t>.           Firma:</w:t>
      </w:r>
    </w:p>
    <w:p w:rsidR="00334D25" w:rsidRDefault="00334D25" w:rsidP="00DB771D">
      <w:pPr>
        <w:jc w:val="both"/>
        <w:rPr>
          <w:sz w:val="24"/>
          <w:szCs w:val="24"/>
        </w:rPr>
      </w:pPr>
    </w:p>
    <w:p w:rsidR="00DB771D" w:rsidRPr="00DB771D" w:rsidRDefault="00DB771D" w:rsidP="00DB771D">
      <w:pPr>
        <w:spacing w:line="275" w:lineRule="auto"/>
        <w:jc w:val="both"/>
        <w:textDirection w:val="btLr"/>
        <w:rPr>
          <w:sz w:val="20"/>
          <w:szCs w:val="20"/>
        </w:rPr>
      </w:pPr>
      <w:r w:rsidRPr="00DB771D">
        <w:rPr>
          <w:rFonts w:eastAsia="Calibri" w:cs="Calibri"/>
          <w:i/>
          <w:color w:val="000000"/>
          <w:sz w:val="20"/>
          <w:szCs w:val="20"/>
        </w:rPr>
        <w:t xml:space="preserve">NOTA: </w:t>
      </w:r>
      <w:r w:rsidR="00334D25">
        <w:rPr>
          <w:rFonts w:eastAsia="Calibri" w:cs="Calibri"/>
          <w:i/>
          <w:color w:val="000000"/>
          <w:sz w:val="20"/>
          <w:szCs w:val="20"/>
        </w:rPr>
        <w:t xml:space="preserve">Entregar en </w:t>
      </w:r>
      <w:r w:rsidRPr="00DB771D">
        <w:rPr>
          <w:rFonts w:eastAsia="Calibri" w:cs="Calibri"/>
          <w:i/>
          <w:color w:val="000000"/>
          <w:sz w:val="20"/>
          <w:szCs w:val="20"/>
        </w:rPr>
        <w:t>cualquier Registro de la CARM o a las Ventanillas Únicas de los Ayuntamientos</w:t>
      </w:r>
      <w:r w:rsidR="00334D25">
        <w:rPr>
          <w:rFonts w:eastAsia="Calibri" w:cs="Calibri"/>
          <w:i/>
          <w:color w:val="000000"/>
          <w:sz w:val="20"/>
          <w:szCs w:val="20"/>
        </w:rPr>
        <w:t xml:space="preserve"> u otras administraciones, o </w:t>
      </w:r>
      <w:r w:rsidRPr="00DB771D">
        <w:rPr>
          <w:rFonts w:eastAsia="Calibri" w:cs="Calibri"/>
          <w:i/>
          <w:color w:val="000000"/>
          <w:sz w:val="20"/>
          <w:szCs w:val="20"/>
        </w:rPr>
        <w:t xml:space="preserve"> remitir directamente por sede electrónica a la Dirección General de Patrimonio Cultural de la </w:t>
      </w:r>
      <w:r w:rsidR="00334D25">
        <w:rPr>
          <w:rFonts w:eastAsia="Calibri" w:cs="Calibri"/>
          <w:i/>
          <w:color w:val="000000"/>
          <w:sz w:val="20"/>
          <w:szCs w:val="20"/>
        </w:rPr>
        <w:t xml:space="preserve">CARM. También </w:t>
      </w:r>
      <w:r w:rsidRPr="00DB771D">
        <w:rPr>
          <w:rFonts w:eastAsia="Calibri" w:cs="Calibri"/>
          <w:i/>
          <w:color w:val="000000"/>
          <w:sz w:val="20"/>
          <w:szCs w:val="20"/>
        </w:rPr>
        <w:t xml:space="preserve">se puede enviar a HUERMUR </w:t>
      </w:r>
      <w:r w:rsidR="00334D25">
        <w:rPr>
          <w:rFonts w:eastAsia="Calibri" w:cs="Calibri"/>
          <w:i/>
          <w:color w:val="000000"/>
          <w:sz w:val="20"/>
          <w:szCs w:val="20"/>
        </w:rPr>
        <w:t xml:space="preserve">rellenado y </w:t>
      </w:r>
      <w:r w:rsidRPr="00DB771D">
        <w:rPr>
          <w:rFonts w:eastAsia="Calibri" w:cs="Calibri"/>
          <w:i/>
          <w:color w:val="000000"/>
          <w:sz w:val="20"/>
          <w:szCs w:val="20"/>
        </w:rPr>
        <w:t>escaneado o firmado electrónicamente, para ser remitido</w:t>
      </w:r>
      <w:r w:rsidR="00334D25">
        <w:rPr>
          <w:rFonts w:eastAsia="Calibri" w:cs="Calibri"/>
          <w:i/>
          <w:color w:val="000000"/>
          <w:sz w:val="20"/>
          <w:szCs w:val="20"/>
        </w:rPr>
        <w:t xml:space="preserve"> al expediente de protección como BIC.</w:t>
      </w:r>
    </w:p>
    <w:sectPr w:rsidR="00DB771D" w:rsidRPr="00DB771D">
      <w:headerReference w:type="default" r:id="rId9"/>
      <w:footerReference w:type="default" r:id="rId10"/>
      <w:pgSz w:w="11906" w:h="16838"/>
      <w:pgMar w:top="851" w:right="851" w:bottom="851" w:left="85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21" w:rsidRDefault="009A2521">
      <w:pPr>
        <w:spacing w:after="0" w:line="240" w:lineRule="auto"/>
      </w:pPr>
      <w:r>
        <w:separator/>
      </w:r>
    </w:p>
  </w:endnote>
  <w:endnote w:type="continuationSeparator" w:id="0">
    <w:p w:rsidR="009A2521" w:rsidRDefault="009A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F2" w:rsidRDefault="00B43CF2">
    <w:pPr>
      <w:pStyle w:val="Piedepgina"/>
    </w:pPr>
  </w:p>
  <w:p w:rsidR="00121CC5" w:rsidRDefault="00121C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21" w:rsidRDefault="009A2521">
      <w:pPr>
        <w:spacing w:after="0" w:line="240" w:lineRule="auto"/>
      </w:pPr>
      <w:r>
        <w:separator/>
      </w:r>
    </w:p>
  </w:footnote>
  <w:footnote w:type="continuationSeparator" w:id="0">
    <w:p w:rsidR="009A2521" w:rsidRDefault="009A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F2" w:rsidRPr="00853D59" w:rsidRDefault="00B43CF2" w:rsidP="00B43CF2">
    <w:pPr>
      <w:pStyle w:val="Encabezado"/>
      <w:jc w:val="center"/>
      <w:rPr>
        <w:i/>
        <w:color w:val="808080" w:themeColor="background1" w:themeShade="80"/>
      </w:rPr>
    </w:pPr>
    <w:r w:rsidRPr="00853D59">
      <w:rPr>
        <w:i/>
        <w:color w:val="808080" w:themeColor="background1" w:themeShade="80"/>
      </w:rPr>
      <w:t xml:space="preserve">ADHESIÓN A LA SOLICITUD DE PROTECCIÓN COMO BIEN </w:t>
    </w:r>
    <w:r w:rsidR="003163B5" w:rsidRPr="00853D59">
      <w:rPr>
        <w:i/>
        <w:color w:val="808080" w:themeColor="background1" w:themeShade="80"/>
      </w:rPr>
      <w:t>DE INTERÉS CULTURAL DE LA ASAMBL</w:t>
    </w:r>
    <w:r w:rsidRPr="00853D59">
      <w:rPr>
        <w:i/>
        <w:color w:val="808080" w:themeColor="background1" w:themeShade="80"/>
      </w:rPr>
      <w:t>EA REGIONAL</w:t>
    </w:r>
    <w:r w:rsidR="003163B5" w:rsidRPr="00853D59">
      <w:rPr>
        <w:i/>
        <w:color w:val="808080" w:themeColor="background1" w:themeShade="80"/>
      </w:rPr>
      <w:br/>
    </w:r>
    <w:r w:rsidRPr="00853D59">
      <w:rPr>
        <w:i/>
        <w:color w:val="808080" w:themeColor="background1" w:themeShade="80"/>
      </w:rPr>
      <w:t xml:space="preserve"> Y SU COLECCIÓN ARTÍSTICA Y BIBLIOGRÁFICA, ANTIGUA CASA DE CULTURA DE CARTAGENA</w:t>
    </w:r>
  </w:p>
  <w:p w:rsidR="00B43CF2" w:rsidRDefault="00B43C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CC5"/>
    <w:rsid w:val="00121CC5"/>
    <w:rsid w:val="003163B5"/>
    <w:rsid w:val="00334D25"/>
    <w:rsid w:val="00733D91"/>
    <w:rsid w:val="0082405D"/>
    <w:rsid w:val="00853D59"/>
    <w:rsid w:val="009A2521"/>
    <w:rsid w:val="00A915E7"/>
    <w:rsid w:val="00A95218"/>
    <w:rsid w:val="00B43CF2"/>
    <w:rsid w:val="00D838D1"/>
    <w:rsid w:val="00DB771D"/>
    <w:rsid w:val="00F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3C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5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2F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2F"/>
    <w:rPr>
      <w:rFonts w:eastAsia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3C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5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5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2F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2F"/>
    <w:rPr>
      <w:rFonts w:eastAsia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xgvtFqF6dqke51cTX3ZAnc6uQ==">AMUW2mVhwQJQYjBDpaxse9YbSdDOtQ0C09TjsjL5oYtHdMrku6m2qhmyxIfOVLCmwaQ1hnL+/7H6pamAxvPgIS6eWiui5qRQlklr2uGMaAL1O0lcXRet3uw=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41E938-571F-497D-B8B1-CF91AB06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Portatil Casa</cp:lastModifiedBy>
  <cp:revision>2</cp:revision>
  <cp:lastPrinted>2023-02-12T18:24:00Z</cp:lastPrinted>
  <dcterms:created xsi:type="dcterms:W3CDTF">2023-02-13T16:32:00Z</dcterms:created>
  <dcterms:modified xsi:type="dcterms:W3CDTF">2023-02-13T16:32:00Z</dcterms:modified>
</cp:coreProperties>
</file>